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8520A" w14:textId="0BAFC312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74048AA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04E07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613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8DA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D20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1D5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D22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D39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2A0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8D2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153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E08E5E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2716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D84902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9AC9A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739A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B8CAB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483056FF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01863D6F" w14:textId="67FBF82D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Hlk202263577"/>
      <w:r w:rsidR="00AA2B3C">
        <w:rPr>
          <w:rFonts w:ascii="Times New Roman" w:hAnsi="Times New Roman"/>
          <w:b/>
          <w:sz w:val="24"/>
          <w:szCs w:val="24"/>
        </w:rPr>
        <w:t>C50041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5EF7D61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FA9B29B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C35A469" w14:textId="77777777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40F125E6" w14:textId="6C01326B" w:rsidR="00836C75" w:rsidRDefault="00AA2B3C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bookmarkStart w:id="1" w:name="_Hlk202263524"/>
      <w:r>
        <w:rPr>
          <w:rFonts w:ascii="Cambria" w:hAnsi="Cambria" w:cs="Times New Roman"/>
          <w:b/>
          <w:sz w:val="28"/>
          <w:szCs w:val="24"/>
        </w:rPr>
        <w:t>INTERNATIONAL FINANCIAL MANAGEMENT</w:t>
      </w:r>
    </w:p>
    <w:bookmarkEnd w:id="1"/>
    <w:p w14:paraId="7E47D14D" w14:textId="1DE318CB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91769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243574A1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1C80F7E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30727C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48E7A7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8FD6B19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D024A3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BE5F94B" w14:textId="7777777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20999FDE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567"/>
        <w:gridCol w:w="7371"/>
        <w:gridCol w:w="520"/>
        <w:gridCol w:w="586"/>
        <w:gridCol w:w="543"/>
      </w:tblGrid>
      <w:tr w:rsidR="00112543" w:rsidRPr="00923B27" w14:paraId="44CBCCAC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96D786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75D6FB48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72DD8F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8AAA012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67E4E287" w14:textId="77777777" w:rsidTr="003E18DE">
        <w:trPr>
          <w:trHeight w:val="432"/>
        </w:trPr>
        <w:tc>
          <w:tcPr>
            <w:tcW w:w="17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77BF5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F388A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6CE3CAB" w14:textId="2C82691D" w:rsidR="005219E6" w:rsidRPr="00923B27" w:rsidRDefault="00A71C16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064C">
              <w:rPr>
                <w:rFonts w:ascii="Bookman Old Style" w:hAnsi="Bookman Old Style" w:cs="Times New Roman"/>
                <w:sz w:val="24"/>
                <w:szCs w:val="24"/>
              </w:rPr>
              <w:t xml:space="preserve">State two differences between Domestic </w:t>
            </w:r>
            <w:r w:rsidR="00B925F8">
              <w:rPr>
                <w:rFonts w:ascii="Bookman Old Style" w:hAnsi="Bookman Old Style" w:cs="Times New Roman"/>
                <w:sz w:val="24"/>
                <w:szCs w:val="24"/>
              </w:rPr>
              <w:t xml:space="preserve">FM </w:t>
            </w:r>
            <w:r w:rsidRPr="00F5064C">
              <w:rPr>
                <w:rFonts w:ascii="Bookman Old Style" w:hAnsi="Bookman Old Style" w:cs="Times New Roman"/>
                <w:sz w:val="24"/>
                <w:szCs w:val="24"/>
              </w:rPr>
              <w:t>and International FM.</w:t>
            </w:r>
          </w:p>
        </w:tc>
        <w:tc>
          <w:tcPr>
            <w:tcW w:w="262" w:type="pct"/>
            <w:vAlign w:val="center"/>
          </w:tcPr>
          <w:p w14:paraId="40FA4955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DC1A38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E6B61B" w14:textId="6CFB948B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2E6B604A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D34224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9D3B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401FC84" w14:textId="21757CA8" w:rsidR="005219E6" w:rsidRPr="00923B27" w:rsidRDefault="00A71C16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71C16">
              <w:rPr>
                <w:rFonts w:ascii="Bookman Old Style" w:hAnsi="Bookman Old Style" w:cs="Times New Roman"/>
                <w:sz w:val="24"/>
                <w:szCs w:val="24"/>
              </w:rPr>
              <w:t>Mention any two international financial institutions.</w:t>
            </w:r>
          </w:p>
        </w:tc>
        <w:tc>
          <w:tcPr>
            <w:tcW w:w="262" w:type="pct"/>
            <w:vAlign w:val="center"/>
          </w:tcPr>
          <w:p w14:paraId="3B41368F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D6E749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73C579" w14:textId="0A7E9AA6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1378AE19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59CC9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0B18F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3CCABB70" w14:textId="14E4CDD3" w:rsidR="005219E6" w:rsidRPr="00923B27" w:rsidRDefault="00A71C16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71C16">
              <w:rPr>
                <w:rFonts w:ascii="Bookman Old Style" w:hAnsi="Bookman Old Style" w:cs="Times New Roman"/>
                <w:sz w:val="24"/>
                <w:szCs w:val="24"/>
              </w:rPr>
              <w:t>What is Balance of Payments?</w:t>
            </w:r>
          </w:p>
        </w:tc>
        <w:tc>
          <w:tcPr>
            <w:tcW w:w="262" w:type="pct"/>
            <w:vAlign w:val="center"/>
          </w:tcPr>
          <w:p w14:paraId="4885987F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380DB0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971F2B4" w14:textId="35FF996A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B5E75C8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BBAC3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CB214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CC8BCCC" w14:textId="179B5DA6" w:rsidR="005219E6" w:rsidRPr="00923B27" w:rsidRDefault="00A71C16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32B1C">
              <w:rPr>
                <w:rFonts w:ascii="Bookman Old Style" w:eastAsia="Calibri" w:hAnsi="Bookman Old Style"/>
                <w:sz w:val="24"/>
                <w:szCs w:val="24"/>
              </w:rPr>
              <w:t>Write any two components of current account.</w:t>
            </w:r>
          </w:p>
        </w:tc>
        <w:tc>
          <w:tcPr>
            <w:tcW w:w="262" w:type="pct"/>
            <w:vAlign w:val="center"/>
          </w:tcPr>
          <w:p w14:paraId="2BFF985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83AD8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1A4D3CE" w14:textId="29AD3972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72C4ADE9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D93B5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C76A7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E4BADCC" w14:textId="782AC0AB" w:rsidR="005219E6" w:rsidRPr="00923B27" w:rsidRDefault="00A71C16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064C">
              <w:rPr>
                <w:rFonts w:ascii="Bookman Old Style" w:hAnsi="Bookman Old Style" w:cs="Times New Roman"/>
                <w:sz w:val="24"/>
                <w:szCs w:val="24"/>
              </w:rPr>
              <w:t>What is spot exchange rate?</w:t>
            </w:r>
          </w:p>
        </w:tc>
        <w:tc>
          <w:tcPr>
            <w:tcW w:w="262" w:type="pct"/>
            <w:vAlign w:val="center"/>
          </w:tcPr>
          <w:p w14:paraId="085733CB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6AAD9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B915DB4" w14:textId="75819E42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4DF44A7B" w14:textId="77777777" w:rsidTr="004C4E7F">
        <w:trPr>
          <w:trHeight w:val="360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50B69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7964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113106C" w14:textId="66458B80" w:rsidR="005219E6" w:rsidRPr="004C4E7F" w:rsidRDefault="004C4E7F" w:rsidP="004C4E7F">
            <w:pPr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4C4E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of two types of </w:t>
            </w:r>
            <w:proofErr w:type="spellStart"/>
            <w:r w:rsidRPr="004C4E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forex</w:t>
            </w:r>
            <w:proofErr w:type="spellEnd"/>
            <w:r w:rsidRPr="004C4E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market participants.</w:t>
            </w:r>
          </w:p>
        </w:tc>
        <w:tc>
          <w:tcPr>
            <w:tcW w:w="262" w:type="pct"/>
            <w:vAlign w:val="center"/>
          </w:tcPr>
          <w:p w14:paraId="1369D6A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5D83B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492C74A" w14:textId="08A12DA3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5DF73C6E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DA406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E5829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9CFA629" w14:textId="6AA968FD" w:rsidR="005219E6" w:rsidRPr="00923B27" w:rsidRDefault="004C4E7F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4E7F">
              <w:rPr>
                <w:rFonts w:ascii="Bookman Old Style" w:hAnsi="Bookman Old Style" w:cs="Times New Roman"/>
                <w:sz w:val="24"/>
                <w:szCs w:val="24"/>
              </w:rPr>
              <w:t>What is Purchasing Power Parity (PPP)?</w:t>
            </w:r>
          </w:p>
        </w:tc>
        <w:tc>
          <w:tcPr>
            <w:tcW w:w="262" w:type="pct"/>
            <w:vAlign w:val="center"/>
          </w:tcPr>
          <w:p w14:paraId="4E263B6D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C297D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3480BBD" w14:textId="2A6069CF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601ABEE5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D641F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ACAFA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9DBE301" w14:textId="1676E01B" w:rsidR="005219E6" w:rsidRPr="00923B27" w:rsidRDefault="004C4E7F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4E7F">
              <w:rPr>
                <w:rFonts w:ascii="Bookman Old Style" w:hAnsi="Bookman Old Style" w:cs="Times New Roman"/>
                <w:sz w:val="24"/>
                <w:szCs w:val="24"/>
              </w:rPr>
              <w:t>Mention any two government measures to control exchange rates.</w:t>
            </w:r>
          </w:p>
        </w:tc>
        <w:tc>
          <w:tcPr>
            <w:tcW w:w="262" w:type="pct"/>
            <w:vAlign w:val="center"/>
          </w:tcPr>
          <w:p w14:paraId="53A0537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AEB540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16C3ADA" w14:textId="4FC7E864" w:rsidR="005219E6" w:rsidRPr="00923B27" w:rsidRDefault="00B278A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6E707254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1A413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44B5A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DF94CB1" w14:textId="42651245" w:rsidR="005219E6" w:rsidRPr="00923B27" w:rsidRDefault="004C4E7F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C4E7F">
              <w:rPr>
                <w:rFonts w:ascii="Bookman Old Style" w:hAnsi="Bookman Old Style" w:cs="Times New Roman"/>
                <w:sz w:val="24"/>
                <w:szCs w:val="24"/>
              </w:rPr>
              <w:t>Define Foreign Direct Investment (FDI).</w:t>
            </w:r>
          </w:p>
        </w:tc>
        <w:tc>
          <w:tcPr>
            <w:tcW w:w="262" w:type="pct"/>
            <w:vAlign w:val="center"/>
          </w:tcPr>
          <w:p w14:paraId="4FFFDC5F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B5F99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134B77F" w14:textId="432B1507" w:rsidR="005219E6" w:rsidRPr="00923B27" w:rsidRDefault="007A206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7C539145" w14:textId="77777777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DEEFA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9C021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D088637" w14:textId="67021FFD" w:rsidR="005219E6" w:rsidRPr="00923B27" w:rsidRDefault="007A206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A2064">
              <w:rPr>
                <w:rFonts w:ascii="Bookman Old Style" w:hAnsi="Bookman Old Style" w:cs="Times New Roman"/>
                <w:sz w:val="24"/>
                <w:szCs w:val="24"/>
              </w:rPr>
              <w:t>Define the term cost of capital.</w:t>
            </w:r>
          </w:p>
        </w:tc>
        <w:tc>
          <w:tcPr>
            <w:tcW w:w="262" w:type="pct"/>
            <w:vAlign w:val="center"/>
          </w:tcPr>
          <w:p w14:paraId="5B11DAB9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00D6E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6405040" w14:textId="66D27912" w:rsidR="005219E6" w:rsidRPr="00923B27" w:rsidRDefault="007A206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CF90518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68453B77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43072497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88"/>
        <w:gridCol w:w="7378"/>
        <w:gridCol w:w="520"/>
        <w:gridCol w:w="586"/>
        <w:gridCol w:w="543"/>
      </w:tblGrid>
      <w:tr w:rsidR="003E18DE" w:rsidRPr="00923B27" w14:paraId="4207A07A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4137EF7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AFA6F7E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942397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2264A91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338F5D1F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EB879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BE9B4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7158D02E" w14:textId="43B0E9F0" w:rsidR="000A4360" w:rsidRPr="00923B27" w:rsidRDefault="00B9371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71C16">
              <w:rPr>
                <w:rFonts w:ascii="Bookman Old Style" w:eastAsia="Calibri" w:hAnsi="Bookman Old Style"/>
                <w:sz w:val="24"/>
                <w:szCs w:val="24"/>
              </w:rPr>
              <w:t>Evaluate the recent developments in international financial systems.</w:t>
            </w:r>
          </w:p>
        </w:tc>
        <w:tc>
          <w:tcPr>
            <w:tcW w:w="262" w:type="pct"/>
            <w:vAlign w:val="center"/>
          </w:tcPr>
          <w:p w14:paraId="7737749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81874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52F52FB" w14:textId="337B84FA" w:rsidR="000A4360" w:rsidRPr="00923B27" w:rsidRDefault="00B937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E18DE" w:rsidRPr="00923B27" w14:paraId="2CE12B5F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F4448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F4E55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540E8089" w14:textId="5F485006" w:rsidR="000A4360" w:rsidRPr="00923B27" w:rsidRDefault="00B9371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93716">
              <w:rPr>
                <w:rFonts w:ascii="Bookman Old Style" w:eastAsia="Calibri" w:hAnsi="Bookman Old Style"/>
                <w:sz w:val="24"/>
                <w:szCs w:val="24"/>
              </w:rPr>
              <w:t>Compare and contrast domestic and international financial management.</w:t>
            </w:r>
          </w:p>
        </w:tc>
        <w:tc>
          <w:tcPr>
            <w:tcW w:w="262" w:type="pct"/>
            <w:vAlign w:val="center"/>
          </w:tcPr>
          <w:p w14:paraId="4B65EA6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DD403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5F54192" w14:textId="24A931B4" w:rsidR="000A4360" w:rsidRPr="00923B27" w:rsidRDefault="00B937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14:paraId="0720F67C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49B13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78BE7A25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9CA28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14DB3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452A4DE1" w14:textId="55D17451" w:rsidR="000A4360" w:rsidRPr="00923B27" w:rsidRDefault="004C4E7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4C4E7F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4C4E7F">
              <w:rPr>
                <w:rFonts w:ascii="Bookman Old Style" w:eastAsia="Calibri" w:hAnsi="Bookman Old Style"/>
                <w:sz w:val="24"/>
                <w:szCs w:val="24"/>
              </w:rPr>
              <w:t xml:space="preserve"> the key challenges faced by financial managers in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Internation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Financial Management.</w:t>
            </w:r>
          </w:p>
        </w:tc>
        <w:tc>
          <w:tcPr>
            <w:tcW w:w="262" w:type="pct"/>
            <w:vAlign w:val="center"/>
          </w:tcPr>
          <w:p w14:paraId="02FA917A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AB958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E94AD06" w14:textId="09E499CA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14:paraId="25DD7F50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60DBC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DBF80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25C5CCE7" w14:textId="25B484B4" w:rsidR="000A4360" w:rsidRPr="00923B27" w:rsidRDefault="004C4E7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C4E7F">
              <w:rPr>
                <w:rFonts w:ascii="Bookman Old Style" w:eastAsia="Calibri" w:hAnsi="Bookman Old Style"/>
                <w:sz w:val="24"/>
                <w:szCs w:val="24"/>
              </w:rPr>
              <w:t>Discuss the nature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scope </w:t>
            </w:r>
            <w:r w:rsidRPr="004C4E7F">
              <w:rPr>
                <w:rFonts w:ascii="Bookman Old Style" w:eastAsia="Calibri" w:hAnsi="Bookman Old Style"/>
                <w:sz w:val="24"/>
                <w:szCs w:val="24"/>
              </w:rPr>
              <w:t>of International Financial Management.</w:t>
            </w:r>
          </w:p>
        </w:tc>
        <w:tc>
          <w:tcPr>
            <w:tcW w:w="262" w:type="pct"/>
            <w:vAlign w:val="center"/>
          </w:tcPr>
          <w:p w14:paraId="3052768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69A3D9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3978D6" w14:textId="21EC943B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22634A19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69E42C" w14:textId="22949224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399E8555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1E59F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6DBA4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</w:tcPr>
          <w:p w14:paraId="3D914C48" w14:textId="1D7BF878" w:rsidR="000A4360" w:rsidRPr="00923B27" w:rsidRDefault="004C4E7F" w:rsidP="004C4E7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C4E7F">
              <w:rPr>
                <w:rFonts w:ascii="Bookman Old Style" w:eastAsia="Calibri" w:hAnsi="Bookman Old Style"/>
                <w:sz w:val="24"/>
                <w:szCs w:val="24"/>
              </w:rPr>
              <w:t>Explain the structure and components of Balance of Payments.</w:t>
            </w:r>
          </w:p>
        </w:tc>
        <w:tc>
          <w:tcPr>
            <w:tcW w:w="262" w:type="pct"/>
            <w:vAlign w:val="center"/>
          </w:tcPr>
          <w:p w14:paraId="0A2828FF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B9730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7E12A9" w14:textId="0BFF579B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545B16D1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6DE09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4E52C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</w:tcPr>
          <w:p w14:paraId="3ACB8107" w14:textId="022698A0" w:rsidR="000A4360" w:rsidRPr="00923B27" w:rsidRDefault="004C4E7F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4E7F">
              <w:rPr>
                <w:rFonts w:ascii="Bookman Old Style" w:eastAsia="Calibri" w:hAnsi="Bookman Old Style"/>
                <w:sz w:val="24"/>
                <w:szCs w:val="24"/>
              </w:rPr>
              <w:t>Discuss the evolution of the International Monetary System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2C21BB5E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1DC61D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460C86" w14:textId="5DD08350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6FF7EEB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6F25AB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4F0510B9" w14:textId="77777777" w:rsidR="005F53D9" w:rsidRDefault="005F53D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45873B3A" w14:textId="77777777" w:rsidR="005F53D9" w:rsidRPr="00923B27" w:rsidRDefault="005F53D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6D32F19F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8EE49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E4282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</w:tcPr>
          <w:p w14:paraId="3CE656CF" w14:textId="36B0DD96" w:rsidR="000A4360" w:rsidRPr="004C4E7F" w:rsidRDefault="004C4E7F" w:rsidP="004C4E7F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4C4E7F">
              <w:rPr>
                <w:rFonts w:ascii="Bookman Old Style" w:hAnsi="Bookman Old Style"/>
                <w:sz w:val="24"/>
                <w:szCs w:val="24"/>
              </w:rPr>
              <w:t xml:space="preserve">Outline the </w:t>
            </w:r>
            <w:r w:rsidR="00B225BF">
              <w:rPr>
                <w:rFonts w:ascii="Bookman Old Style" w:hAnsi="Bookman Old Style"/>
                <w:sz w:val="24"/>
                <w:szCs w:val="24"/>
              </w:rPr>
              <w:t xml:space="preserve">role of international agencies </w:t>
            </w:r>
            <w:r w:rsidRPr="004C4E7F">
              <w:rPr>
                <w:rFonts w:ascii="Bookman Old Style" w:hAnsi="Bookman Old Style"/>
                <w:sz w:val="24"/>
                <w:szCs w:val="24"/>
              </w:rPr>
              <w:t>in monetary stability.</w:t>
            </w:r>
          </w:p>
        </w:tc>
        <w:tc>
          <w:tcPr>
            <w:tcW w:w="262" w:type="pct"/>
            <w:vAlign w:val="center"/>
          </w:tcPr>
          <w:p w14:paraId="6B9D24D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9ACCD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BB1C080" w14:textId="234A8222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62BA6963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6C5C2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18BDC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</w:tcPr>
          <w:p w14:paraId="4E3470AD" w14:textId="4A1A8913" w:rsidR="000A4360" w:rsidRPr="00923B27" w:rsidRDefault="00B93716" w:rsidP="004C4E7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Enumerate</w:t>
            </w:r>
            <w:r w:rsidR="004E1DB4" w:rsidRPr="004E1DB4">
              <w:rPr>
                <w:rFonts w:ascii="Bookman Old Style" w:eastAsia="Calibri" w:hAnsi="Bookman Old Style"/>
                <w:sz w:val="24"/>
                <w:szCs w:val="24"/>
              </w:rPr>
              <w:t xml:space="preserve"> the factors affecting international trade </w:t>
            </w:r>
            <w:r w:rsidR="004E1DB4">
              <w:rPr>
                <w:rFonts w:ascii="Bookman Old Style" w:eastAsia="Calibri" w:hAnsi="Bookman Old Style"/>
                <w:sz w:val="24"/>
                <w:szCs w:val="24"/>
              </w:rPr>
              <w:t>flows.</w:t>
            </w:r>
          </w:p>
        </w:tc>
        <w:tc>
          <w:tcPr>
            <w:tcW w:w="262" w:type="pct"/>
            <w:vAlign w:val="center"/>
          </w:tcPr>
          <w:p w14:paraId="4CD3755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74951EF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D93B09" w14:textId="5A9EB2F6" w:rsidR="000A4360" w:rsidRPr="00923B27" w:rsidRDefault="00B937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68400DA9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5594F3" w14:textId="5047994C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74F13" w:rsidRPr="00923B27" w14:paraId="316DA7A4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58EEFF" w14:textId="77777777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D5AE56" w14:textId="2A9F4340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728E0343" w14:textId="1FB46E11" w:rsidR="00E74F13" w:rsidRPr="00923B27" w:rsidRDefault="00E74F13" w:rsidP="00E74F1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74F13">
              <w:rPr>
                <w:rFonts w:ascii="Bookman Old Style" w:eastAsia="Calibri" w:hAnsi="Bookman Old Style"/>
                <w:sz w:val="24"/>
                <w:szCs w:val="24"/>
              </w:rPr>
              <w:t>Distinguish between currency options and currency futures.</w:t>
            </w:r>
          </w:p>
        </w:tc>
        <w:tc>
          <w:tcPr>
            <w:tcW w:w="262" w:type="pct"/>
            <w:vAlign w:val="center"/>
          </w:tcPr>
          <w:p w14:paraId="4D202271" w14:textId="3B83CAD4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D621B0" w14:textId="77777777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5D75893" w14:textId="105F6FF0" w:rsidR="00E74F13" w:rsidRPr="00923B27" w:rsidRDefault="00634835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34835" w:rsidRPr="00923B27" w14:paraId="542BC676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EA2AB9" w14:textId="77777777" w:rsidR="00634835" w:rsidRPr="00923B27" w:rsidRDefault="00634835" w:rsidP="006348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75E515" w14:textId="3AE3B6B5" w:rsidR="00634835" w:rsidRPr="00923B27" w:rsidRDefault="00634835" w:rsidP="006348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70E2236E" w14:textId="5F9F3CB1" w:rsidR="00634835" w:rsidRPr="00063EA8" w:rsidRDefault="00634835" w:rsidP="00634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74F13">
              <w:rPr>
                <w:rFonts w:ascii="Bookman Old Style" w:eastAsia="Calibri" w:hAnsi="Bookman Old Style"/>
                <w:sz w:val="24"/>
                <w:szCs w:val="24"/>
              </w:rPr>
              <w:t>Describe the forward market and its operations.</w:t>
            </w:r>
          </w:p>
        </w:tc>
        <w:tc>
          <w:tcPr>
            <w:tcW w:w="262" w:type="pct"/>
            <w:vAlign w:val="center"/>
          </w:tcPr>
          <w:p w14:paraId="2E7613C5" w14:textId="40CE43CA" w:rsidR="00634835" w:rsidRDefault="00634835" w:rsidP="006348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2E13A1F" w14:textId="440B8223" w:rsidR="00634835" w:rsidRDefault="00634835" w:rsidP="006348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57F6AAA" w14:textId="3855FECA" w:rsidR="00634835" w:rsidRPr="00923B27" w:rsidRDefault="00634835" w:rsidP="006348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FA310EF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C506CF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4FCBDF1E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CD839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3DAE0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</w:tcPr>
          <w:p w14:paraId="794A9756" w14:textId="4CF0D615" w:rsidR="000A4360" w:rsidRPr="00923B27" w:rsidRDefault="00063EA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63EA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major participants and their roles in the forex market.</w:t>
            </w:r>
          </w:p>
        </w:tc>
        <w:tc>
          <w:tcPr>
            <w:tcW w:w="262" w:type="pct"/>
            <w:vAlign w:val="center"/>
          </w:tcPr>
          <w:p w14:paraId="3D9CB90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73F679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BC35620" w14:textId="561C527D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814CB86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3B656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AE02A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</w:tcPr>
          <w:p w14:paraId="7EA87929" w14:textId="185746A1" w:rsidR="000A4360" w:rsidRPr="00923B27" w:rsidRDefault="00B225B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63EA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Analyse</w:t>
            </w:r>
            <w:r w:rsidR="00063EA8" w:rsidRPr="00063EA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process of arbitrage in the foreign exchange market.</w:t>
            </w:r>
          </w:p>
        </w:tc>
        <w:tc>
          <w:tcPr>
            <w:tcW w:w="262" w:type="pct"/>
            <w:vAlign w:val="center"/>
          </w:tcPr>
          <w:p w14:paraId="203D1873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DFC5A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DAF45C7" w14:textId="17956DB7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14:paraId="78EC9193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D07A32" w14:textId="078D3C1B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74F13" w:rsidRPr="00923B27" w14:paraId="67F899B3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99A432" w14:textId="77777777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3CEC4D" w14:textId="077DE110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0F423385" w14:textId="518655CD" w:rsidR="00E74F13" w:rsidRPr="00923B27" w:rsidRDefault="004E1DB4" w:rsidP="00E74F1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1DB4">
              <w:rPr>
                <w:rFonts w:ascii="Bookman Old Style" w:eastAsia="Calibri" w:hAnsi="Bookman Old Style"/>
                <w:sz w:val="24"/>
                <w:szCs w:val="24"/>
              </w:rPr>
              <w:t>Elaborate on Interest Rate Parity (IRP) and its implications for investors.</w:t>
            </w:r>
          </w:p>
        </w:tc>
        <w:tc>
          <w:tcPr>
            <w:tcW w:w="262" w:type="pct"/>
            <w:vAlign w:val="center"/>
          </w:tcPr>
          <w:p w14:paraId="79BF3E5E" w14:textId="50B02D31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C8A02C" w14:textId="77777777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3B593ED" w14:textId="15446B06" w:rsidR="00E74F13" w:rsidRPr="00923B27" w:rsidRDefault="00634835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74F13" w:rsidRPr="00923B27" w14:paraId="0032C436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DC6687" w14:textId="77777777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56194B" w14:textId="032FE919" w:rsidR="00E74F13" w:rsidRPr="00923B27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1F151A54" w14:textId="3FCF2C09" w:rsidR="00E74F13" w:rsidRPr="00E74F13" w:rsidRDefault="004E1DB4" w:rsidP="00E74F1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74F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</w:t>
            </w:r>
            <w:bookmarkStart w:id="2" w:name="_GoBack"/>
            <w:bookmarkEnd w:id="2"/>
            <w:r w:rsidRPr="00E74F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 relationship between inflation, interest rates, and exchange rates.</w:t>
            </w:r>
          </w:p>
        </w:tc>
        <w:tc>
          <w:tcPr>
            <w:tcW w:w="262" w:type="pct"/>
            <w:vAlign w:val="center"/>
          </w:tcPr>
          <w:p w14:paraId="079FD851" w14:textId="11C2A1DF" w:rsidR="00E74F13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3A6010" w14:textId="1EDF2FBD" w:rsidR="00E74F13" w:rsidRDefault="00E74F13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C8407F9" w14:textId="7CCA8EFB" w:rsidR="00E74F13" w:rsidRPr="00923B27" w:rsidRDefault="004E1DB4" w:rsidP="00E74F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33E7B266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2D677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6F6D1F8D" w14:textId="77777777" w:rsidTr="00063EA8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B3CF4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243AB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6BEDBA2C" w14:textId="6D8CD3B5" w:rsidR="000A4360" w:rsidRPr="00923B27" w:rsidRDefault="00E74F1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74F13">
              <w:rPr>
                <w:rFonts w:ascii="Bookman Old Style" w:eastAsia="Calibri" w:hAnsi="Bookman Old Style"/>
                <w:sz w:val="24"/>
                <w:szCs w:val="24"/>
              </w:rPr>
              <w:t>Discuss the concepts of PPP and IRP with examples.</w:t>
            </w:r>
          </w:p>
        </w:tc>
        <w:tc>
          <w:tcPr>
            <w:tcW w:w="262" w:type="pct"/>
            <w:vAlign w:val="center"/>
          </w:tcPr>
          <w:p w14:paraId="1A0C2A9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C9A476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B72E03" w14:textId="01DC302B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82CE58E" w14:textId="77777777" w:rsidTr="00063EA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6044B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3991F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2BA1E7B5" w14:textId="0A4A45CD" w:rsidR="000A4360" w:rsidRPr="00923B27" w:rsidRDefault="00E74F13" w:rsidP="00311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74F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Fisher Effect and its relevance.</w:t>
            </w:r>
          </w:p>
        </w:tc>
        <w:tc>
          <w:tcPr>
            <w:tcW w:w="262" w:type="pct"/>
            <w:vAlign w:val="center"/>
          </w:tcPr>
          <w:p w14:paraId="7D42D3F5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CA499B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6766C7D" w14:textId="77309432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22D0F03D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6F5307" w14:textId="6A137570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68F29523" w14:textId="77777777" w:rsidTr="00063EA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9D0C9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F8815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5" w:type="pct"/>
            <w:shd w:val="clear" w:color="auto" w:fill="auto"/>
          </w:tcPr>
          <w:p w14:paraId="73872FA3" w14:textId="7A4A7335" w:rsidR="000A4360" w:rsidRPr="00923B27" w:rsidRDefault="004E1DB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1DB4">
              <w:rPr>
                <w:rFonts w:ascii="Bookman Old Style" w:eastAsia="Calibri" w:hAnsi="Bookman Old Style"/>
                <w:sz w:val="24"/>
                <w:szCs w:val="24"/>
              </w:rPr>
              <w:t>Evaluate various sources of international financing with suitable examples.</w:t>
            </w:r>
          </w:p>
        </w:tc>
        <w:tc>
          <w:tcPr>
            <w:tcW w:w="262" w:type="pct"/>
            <w:vAlign w:val="center"/>
          </w:tcPr>
          <w:p w14:paraId="243B672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F1A64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284BA78" w14:textId="1DB23350" w:rsidR="000A4360" w:rsidRPr="00923B27" w:rsidRDefault="004E1DB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E18DE" w:rsidRPr="00923B27" w14:paraId="1C1F2E0F" w14:textId="77777777" w:rsidTr="00063EA8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50502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20E73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5" w:type="pct"/>
            <w:shd w:val="clear" w:color="auto" w:fill="auto"/>
            <w:vAlign w:val="center"/>
          </w:tcPr>
          <w:p w14:paraId="02527E5A" w14:textId="68F47C37" w:rsidR="000A4360" w:rsidRPr="00923B27" w:rsidRDefault="004E1DB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1D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recent amendments in EXIM policy and their implications for exporters.</w:t>
            </w:r>
          </w:p>
        </w:tc>
        <w:tc>
          <w:tcPr>
            <w:tcW w:w="262" w:type="pct"/>
            <w:vAlign w:val="center"/>
          </w:tcPr>
          <w:p w14:paraId="31C5E89C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797F12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00C8A37" w14:textId="586732E4" w:rsidR="000A4360" w:rsidRPr="00923B27" w:rsidRDefault="0063483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14880BED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36B34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116BD994" w14:textId="77777777" w:rsidTr="00063EA8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3E3CDE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B1EC35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auto"/>
            <w:vAlign w:val="center"/>
          </w:tcPr>
          <w:p w14:paraId="0CBFAC1C" w14:textId="5BE05B65" w:rsidR="0051040F" w:rsidRPr="00923B27" w:rsidRDefault="00E74F13" w:rsidP="002819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</w:t>
            </w:r>
            <w:r w:rsidRPr="00E74F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laborate on International Capital Budgeting</w:t>
            </w:r>
            <w:r w:rsidR="0028199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Pr="00E74F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and risks involved in foreign investment projects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03A7581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BAACB4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D80633D" w14:textId="0A1842D4" w:rsidR="0051040F" w:rsidRPr="00923B27" w:rsidRDefault="00634835" w:rsidP="005F5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7186C201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84C8824" w14:textId="38B7465F" w:rsidR="00A90860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</w:p>
    <w:sectPr w:rsidR="00A90860" w:rsidSect="00AB4B49">
      <w:pgSz w:w="11906" w:h="16838"/>
      <w:pgMar w:top="357" w:right="1009" w:bottom="27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47BC9"/>
    <w:rsid w:val="00053A2B"/>
    <w:rsid w:val="00063EA8"/>
    <w:rsid w:val="000A4360"/>
    <w:rsid w:val="000C1D0F"/>
    <w:rsid w:val="000D0B88"/>
    <w:rsid w:val="000D1173"/>
    <w:rsid w:val="000F12BE"/>
    <w:rsid w:val="00103309"/>
    <w:rsid w:val="00112543"/>
    <w:rsid w:val="00150DF0"/>
    <w:rsid w:val="00155D25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81997"/>
    <w:rsid w:val="00284F2E"/>
    <w:rsid w:val="00296345"/>
    <w:rsid w:val="002A7366"/>
    <w:rsid w:val="002B12E4"/>
    <w:rsid w:val="002C7124"/>
    <w:rsid w:val="002E177B"/>
    <w:rsid w:val="00311515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C4E7F"/>
    <w:rsid w:val="004E1DB4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5F53D9"/>
    <w:rsid w:val="0062034D"/>
    <w:rsid w:val="00634835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A177A"/>
    <w:rsid w:val="007A2064"/>
    <w:rsid w:val="007B145D"/>
    <w:rsid w:val="007B2CF8"/>
    <w:rsid w:val="007C3536"/>
    <w:rsid w:val="007E0D25"/>
    <w:rsid w:val="007F2445"/>
    <w:rsid w:val="007F2DB7"/>
    <w:rsid w:val="00812608"/>
    <w:rsid w:val="008166E1"/>
    <w:rsid w:val="00836C75"/>
    <w:rsid w:val="00843353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71C16"/>
    <w:rsid w:val="00A83908"/>
    <w:rsid w:val="00A90860"/>
    <w:rsid w:val="00AA1A23"/>
    <w:rsid w:val="00AA2B3C"/>
    <w:rsid w:val="00AB4B49"/>
    <w:rsid w:val="00AB5060"/>
    <w:rsid w:val="00AB54D0"/>
    <w:rsid w:val="00AD4CC9"/>
    <w:rsid w:val="00AE789F"/>
    <w:rsid w:val="00AF7F5A"/>
    <w:rsid w:val="00B11358"/>
    <w:rsid w:val="00B223DF"/>
    <w:rsid w:val="00B225BF"/>
    <w:rsid w:val="00B26603"/>
    <w:rsid w:val="00B278AD"/>
    <w:rsid w:val="00B34647"/>
    <w:rsid w:val="00B50A9C"/>
    <w:rsid w:val="00B62ABD"/>
    <w:rsid w:val="00B81BCD"/>
    <w:rsid w:val="00B925F8"/>
    <w:rsid w:val="00B93716"/>
    <w:rsid w:val="00B93AE5"/>
    <w:rsid w:val="00B96113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1769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4F13"/>
    <w:rsid w:val="00E779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FB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C4E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07F5-0467-413D-B5BF-B9FCFB93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108</cp:revision>
  <cp:lastPrinted>2025-03-29T05:11:00Z</cp:lastPrinted>
  <dcterms:created xsi:type="dcterms:W3CDTF">2018-09-08T07:27:00Z</dcterms:created>
  <dcterms:modified xsi:type="dcterms:W3CDTF">2025-07-24T03:28:00Z</dcterms:modified>
</cp:coreProperties>
</file>